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我单位为公益一类全额拨款事业单位，</w:t>
      </w:r>
      <w:r>
        <w:rPr>
          <w:rFonts w:hint="eastAsia" w:ascii="仿宋_GB2312" w:eastAsia="仿宋_GB2312"/>
          <w:sz w:val="28"/>
          <w:szCs w:val="28"/>
          <w:lang w:val="zh-CN"/>
        </w:rPr>
        <w:t>主要职责是:协助机关开展卫生健康人才队伍建设与实用技术普及推广工作；负责组织开展卫生专业技术人员医学教育、培训及乡村医生进修、培养工作；负责医师定期考核管理工作；负责卫生专业技术资格考试、评审等事务性工作；负责护士执业资格考试及医师执业资格考试的报名、资格审核工作；负责对临床实践技能培训基地、中医药适宜技术推广基地进行业务指导和管理；承担卫生健康委党校的日常事务性工作，负责卫生健康系统党员干部的教育培训工作。</w:t>
      </w:r>
      <w:r>
        <w:rPr>
          <w:rFonts w:hint="eastAsia" w:ascii="仿宋_GB2312" w:eastAsia="仿宋_GB2312"/>
          <w:sz w:val="28"/>
          <w:szCs w:val="28"/>
        </w:rPr>
        <w:t>机构</w:t>
      </w:r>
      <w:r>
        <w:rPr>
          <w:rFonts w:hint="eastAsia" w:ascii="仿宋_GB2312" w:eastAsia="仿宋_GB2312"/>
          <w:sz w:val="28"/>
          <w:szCs w:val="28"/>
          <w:lang w:eastAsia="zh-CN"/>
        </w:rPr>
        <w:t>设置</w:t>
      </w:r>
      <w:r>
        <w:rPr>
          <w:rFonts w:hint="eastAsia" w:ascii="仿宋_GB2312" w:eastAsia="仿宋_GB2312"/>
          <w:sz w:val="28"/>
          <w:szCs w:val="28"/>
        </w:rPr>
        <w:t>情况，单位设2室</w:t>
      </w:r>
      <w:r>
        <w:rPr>
          <w:rFonts w:hint="eastAsia" w:ascii="仿宋_GB2312" w:eastAsia="仿宋_GB2312"/>
          <w:sz w:val="28"/>
          <w:szCs w:val="28"/>
          <w:lang w:val="en-US" w:eastAsia="zh-CN"/>
        </w:rPr>
        <w:t>3</w:t>
      </w:r>
      <w:r>
        <w:rPr>
          <w:rFonts w:hint="eastAsia" w:ascii="仿宋_GB2312" w:eastAsia="仿宋_GB2312"/>
          <w:sz w:val="28"/>
          <w:szCs w:val="28"/>
        </w:rPr>
        <w:t>科，分别是党群办公室、</w:t>
      </w:r>
      <w:r>
        <w:rPr>
          <w:rFonts w:hint="eastAsia" w:ascii="仿宋_GB2312" w:eastAsia="仿宋_GB2312"/>
          <w:sz w:val="28"/>
          <w:szCs w:val="28"/>
          <w:lang w:eastAsia="zh-CN"/>
        </w:rPr>
        <w:t>综合</w:t>
      </w:r>
      <w:r>
        <w:rPr>
          <w:rFonts w:hint="eastAsia" w:ascii="仿宋_GB2312" w:eastAsia="仿宋_GB2312"/>
          <w:sz w:val="28"/>
          <w:szCs w:val="28"/>
        </w:rPr>
        <w:t>办公室、</w:t>
      </w:r>
      <w:r>
        <w:rPr>
          <w:rFonts w:hint="eastAsia" w:ascii="仿宋_GB2312" w:eastAsia="仿宋_GB2312"/>
          <w:sz w:val="28"/>
          <w:szCs w:val="28"/>
          <w:lang w:eastAsia="zh-CN"/>
        </w:rPr>
        <w:t>教育服务科</w:t>
      </w:r>
      <w:r>
        <w:rPr>
          <w:rFonts w:hint="eastAsia" w:ascii="仿宋_GB2312" w:eastAsia="仿宋_GB2312"/>
          <w:sz w:val="28"/>
          <w:szCs w:val="28"/>
        </w:rPr>
        <w:t>、财务</w:t>
      </w:r>
      <w:r>
        <w:rPr>
          <w:rFonts w:hint="eastAsia" w:ascii="仿宋_GB2312" w:eastAsia="仿宋_GB2312"/>
          <w:sz w:val="28"/>
          <w:szCs w:val="28"/>
          <w:lang w:eastAsia="zh-CN"/>
        </w:rPr>
        <w:t>审计</w:t>
      </w:r>
      <w:r>
        <w:rPr>
          <w:rFonts w:hint="eastAsia" w:ascii="仿宋_GB2312" w:eastAsia="仿宋_GB2312"/>
          <w:sz w:val="28"/>
          <w:szCs w:val="28"/>
        </w:rPr>
        <w:t>科</w:t>
      </w:r>
      <w:r>
        <w:rPr>
          <w:rFonts w:hint="eastAsia" w:ascii="仿宋_GB2312" w:eastAsia="仿宋_GB2312"/>
          <w:sz w:val="28"/>
          <w:szCs w:val="28"/>
          <w:lang w:eastAsia="zh-CN"/>
        </w:rPr>
        <w:t>、安全保卫科</w:t>
      </w:r>
      <w:r>
        <w:rPr>
          <w:rFonts w:hint="eastAsia" w:ascii="仿宋_GB2312" w:eastAsia="仿宋_GB2312"/>
          <w:sz w:val="28"/>
          <w:szCs w:val="28"/>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1693.45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93.88</w:t>
      </w:r>
      <w:r>
        <w:rPr>
          <w:rFonts w:hint="eastAsia" w:ascii="仿宋_GB2312" w:eastAsia="仿宋_GB2312"/>
          <w:sz w:val="28"/>
          <w:szCs w:val="28"/>
        </w:rPr>
        <w:t>万元，增长</w:t>
      </w:r>
      <w:r>
        <w:rPr>
          <w:rFonts w:hint="eastAsia" w:ascii="仿宋_GB2312" w:eastAsia="仿宋_GB2312"/>
          <w:sz w:val="28"/>
          <w:szCs w:val="28"/>
          <w:lang w:val="en-US" w:eastAsia="zh-CN"/>
        </w:rPr>
        <w:t>5.87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1530.17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3.74</w:t>
      </w:r>
      <w:r>
        <w:rPr>
          <w:rFonts w:hint="eastAsia" w:ascii="仿宋_GB2312" w:eastAsia="仿宋_GB2312"/>
          <w:sz w:val="28"/>
          <w:szCs w:val="28"/>
        </w:rPr>
        <w:t>万元，下降</w:t>
      </w:r>
      <w:r>
        <w:rPr>
          <w:rFonts w:hint="eastAsia" w:ascii="仿宋_GB2312" w:eastAsia="仿宋_GB2312"/>
          <w:sz w:val="28"/>
          <w:szCs w:val="28"/>
          <w:lang w:val="en-US" w:eastAsia="zh-CN"/>
        </w:rPr>
        <w:t>0.24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1494.88</w:t>
      </w:r>
      <w:r>
        <w:rPr>
          <w:rFonts w:hint="eastAsia" w:ascii="仿宋_GB2312" w:eastAsia="仿宋_GB2312"/>
          <w:sz w:val="28"/>
          <w:szCs w:val="28"/>
        </w:rPr>
        <w:t>万元，占收入合计的</w:t>
      </w:r>
      <w:r>
        <w:rPr>
          <w:rFonts w:hint="eastAsia" w:ascii="仿宋_GB2312" w:eastAsia="仿宋_GB2312"/>
          <w:sz w:val="28"/>
          <w:szCs w:val="28"/>
          <w:lang w:eastAsia="zh-CN"/>
        </w:rPr>
        <w:t>97.69%。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1494.88</w:t>
      </w:r>
      <w:r>
        <w:rPr>
          <w:rFonts w:hint="eastAsia" w:ascii="仿宋_GB2312" w:eastAsia="仿宋_GB2312"/>
          <w:sz w:val="28"/>
          <w:szCs w:val="28"/>
        </w:rPr>
        <w:t>万元，占收入合计的</w:t>
      </w:r>
      <w:r>
        <w:rPr>
          <w:rFonts w:hint="eastAsia" w:ascii="仿宋_GB2312" w:eastAsia="仿宋_GB2312"/>
          <w:sz w:val="28"/>
          <w:szCs w:val="28"/>
          <w:lang w:val="en-US" w:eastAsia="zh-CN"/>
        </w:rPr>
        <w:t>97.69</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35.29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2.31</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1693.45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93.88</w:t>
      </w:r>
      <w:r>
        <w:rPr>
          <w:rFonts w:hint="eastAsia" w:ascii="仿宋_GB2312" w:eastAsia="仿宋_GB2312"/>
          <w:sz w:val="28"/>
          <w:szCs w:val="28"/>
        </w:rPr>
        <w:t>万元，增长</w:t>
      </w:r>
      <w:r>
        <w:rPr>
          <w:rFonts w:hint="eastAsia" w:ascii="仿宋_GB2312" w:eastAsia="仿宋_GB2312"/>
          <w:sz w:val="28"/>
          <w:szCs w:val="28"/>
          <w:lang w:val="en-US" w:eastAsia="zh-CN"/>
        </w:rPr>
        <w:t>5.87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1450.78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85.67</w:t>
      </w:r>
      <w:r>
        <w:rPr>
          <w:rFonts w:hint="eastAsia" w:ascii="仿宋_GB2312" w:eastAsia="仿宋_GB2312"/>
          <w:sz w:val="28"/>
          <w:szCs w:val="28"/>
          <w:highlight w:val="none"/>
        </w:rPr>
        <w:t>%；项目支出</w:t>
      </w:r>
      <w:r>
        <w:rPr>
          <w:rFonts w:ascii="仿宋_GB2312" w:eastAsia="仿宋_GB2312"/>
          <w:sz w:val="28"/>
          <w:szCs w:val="28"/>
          <w:highlight w:val="none"/>
        </w:rPr>
        <w:t>242.67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14.33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1658.16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124.71</w:t>
      </w:r>
      <w:r>
        <w:rPr>
          <w:rFonts w:hint="eastAsia" w:ascii="仿宋_GB2312" w:eastAsia="仿宋_GB2312"/>
          <w:sz w:val="28"/>
          <w:szCs w:val="28"/>
        </w:rPr>
        <w:t>万元，增长</w:t>
      </w:r>
      <w:r>
        <w:rPr>
          <w:rFonts w:hint="eastAsia" w:ascii="仿宋_GB2312" w:eastAsia="仿宋_GB2312"/>
          <w:sz w:val="28"/>
          <w:szCs w:val="28"/>
          <w:lang w:val="en-US" w:eastAsia="zh-CN"/>
        </w:rPr>
        <w:t>8.31</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人员增减变化、保险、公积金基数的调整变化</w:t>
      </w:r>
      <w:r>
        <w:rPr>
          <w:rFonts w:hint="eastAsia" w:ascii="仿宋_GB2312" w:eastAsia="仿宋_GB2312"/>
          <w:color w:val="auto"/>
          <w:sz w:val="28"/>
          <w:szCs w:val="28"/>
          <w:highlight w:val="none"/>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1658.16</w:t>
      </w:r>
      <w:r>
        <w:rPr>
          <w:rFonts w:hint="eastAsia" w:ascii="仿宋_GB2312" w:eastAsia="仿宋_GB2312"/>
          <w:sz w:val="28"/>
          <w:szCs w:val="28"/>
          <w:highlight w:val="none"/>
        </w:rPr>
        <w:t>万元，主要用于以下方面（按大类）：一般公共服务支出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lang w:val="en-US" w:eastAsia="zh-CN"/>
        </w:rPr>
        <w:t>185.82万元，占本年财政拨款支出11.21%，卫生健康支出1275.69万元，</w:t>
      </w:r>
      <w:r>
        <w:rPr>
          <w:rFonts w:hint="eastAsia" w:ascii="仿宋_GB2312" w:eastAsia="仿宋_GB2312"/>
          <w:sz w:val="28"/>
          <w:szCs w:val="28"/>
          <w:lang w:val="en-US" w:eastAsia="zh-CN"/>
        </w:rPr>
        <w:t>占本年财政拨款支出76.93%。教育支出33.37万元，占本年财政拨款支出2.01%，住房保障支出163.28，占本年财政拨款支出9.85%。</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“人大事务”（款，下同）202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eastAsia="zh-CN"/>
        </w:rPr>
        <w:t>教育支出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33.37</w:t>
      </w:r>
      <w:r>
        <w:rPr>
          <w:rFonts w:hint="eastAsia" w:ascii="仿宋_GB2312" w:eastAsia="仿宋_GB2312"/>
          <w:sz w:val="28"/>
          <w:szCs w:val="28"/>
          <w:highlight w:val="none"/>
        </w:rPr>
        <w:t>万元。其中：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33.37</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履职类项目经费培训费指标在预算执行中进行了科目调剂</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hAnsi="Times New Roman" w:eastAsia="仿宋_GB2312" w:cs="Times New Roman"/>
          <w:b w:val="0"/>
          <w:bCs w:val="0"/>
          <w:color w:val="auto"/>
          <w:kern w:val="2"/>
          <w:sz w:val="28"/>
          <w:szCs w:val="28"/>
          <w:highlight w:val="none"/>
          <w:lang w:val="en-US" w:eastAsia="zh-CN" w:bidi="ar-SA"/>
        </w:rPr>
        <w:t>3、“社会保障和就业”</w:t>
      </w:r>
      <w:r>
        <w:rPr>
          <w:rFonts w:hint="eastAsia" w:ascii="仿宋_GB2312" w:eastAsia="仿宋_GB2312" w:cs="Times New Roman"/>
          <w:b w:val="0"/>
          <w:bCs w:val="0"/>
          <w:color w:val="auto"/>
          <w:kern w:val="2"/>
          <w:sz w:val="28"/>
          <w:szCs w:val="28"/>
          <w:highlight w:val="none"/>
          <w:lang w:val="en-US" w:eastAsia="zh-CN" w:bidi="ar-SA"/>
        </w:rPr>
        <w:t>（类）</w:t>
      </w:r>
      <w:r>
        <w:rPr>
          <w:rFonts w:hint="eastAsia" w:ascii="仿宋_GB2312" w:hAnsi="Times New Roman" w:eastAsia="仿宋_GB2312" w:cs="Times New Roman"/>
          <w:b w:val="0"/>
          <w:bCs w:val="0"/>
          <w:color w:val="auto"/>
          <w:kern w:val="2"/>
          <w:sz w:val="28"/>
          <w:szCs w:val="28"/>
          <w:highlight w:val="none"/>
          <w:lang w:val="en-US" w:eastAsia="zh-CN" w:bidi="ar-SA"/>
        </w:rPr>
        <w:t>2024年度年初预算195.10万元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185.82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95.24</w:t>
      </w:r>
      <w:r>
        <w:rPr>
          <w:rFonts w:hint="eastAsia" w:ascii="仿宋_GB2312" w:eastAsia="仿宋_GB2312"/>
          <w:color w:val="auto"/>
          <w:sz w:val="28"/>
          <w:szCs w:val="28"/>
          <w:highlight w:val="none"/>
        </w:rPr>
        <w:t>%。其中：</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行政事业单位养老支出</w:t>
      </w:r>
      <w:r>
        <w:rPr>
          <w:rFonts w:hint="eastAsia" w:ascii="仿宋_GB2312" w:eastAsia="仿宋_GB2312"/>
          <w:color w:val="auto"/>
          <w:sz w:val="28"/>
          <w:szCs w:val="28"/>
          <w:highlight w:val="none"/>
        </w:rPr>
        <w:t>”（款）202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195.10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185.82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95.24%</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人员增减变化、保险、公积金基数的调整变化</w:t>
      </w:r>
      <w:r>
        <w:rPr>
          <w:rFonts w:hint="eastAsia" w:ascii="仿宋_GB2312" w:eastAsia="仿宋_GB2312"/>
          <w:color w:val="auto"/>
          <w:sz w:val="28"/>
          <w:szCs w:val="28"/>
          <w:highlight w:val="none"/>
        </w:rPr>
        <w:t>。</w:t>
      </w:r>
    </w:p>
    <w:p>
      <w:pPr>
        <w:tabs>
          <w:tab w:val="center" w:pos="6979"/>
        </w:tabs>
        <w:spacing w:line="580" w:lineRule="exact"/>
        <w:ind w:firstLine="57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4、“卫生健康支出”(类)2024年度年初预算1317.31万元，2024年度决算1275.69万元，完成年初预算的96.84%。其中：</w:t>
      </w:r>
    </w:p>
    <w:p>
      <w:pPr>
        <w:tabs>
          <w:tab w:val="center" w:pos="6979"/>
        </w:tabs>
        <w:spacing w:line="580" w:lineRule="exact"/>
        <w:ind w:firstLine="57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“行政事业单位医疗”（款）2024年度年初预算114.83万元，2024年度决算108.89万元，完成年初预算的94.83%。主要原因：人员调出及医疗保险、公务员医疗保险的调整。</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hAnsi="Times New Roman" w:eastAsia="仿宋_GB2312" w:cs="Times New Roman"/>
          <w:b w:val="0"/>
          <w:bCs w:val="0"/>
          <w:kern w:val="2"/>
          <w:sz w:val="28"/>
          <w:szCs w:val="28"/>
          <w:lang w:val="en-US" w:eastAsia="zh-CN" w:bidi="ar-SA"/>
        </w:rPr>
        <w:t>“其他卫生健康支出（款）2024年度年初预算1202.47万元，2024年度决算1202.08万元，完成年初预算的99.97%。主要原因：</w:t>
      </w:r>
      <w:r>
        <w:rPr>
          <w:rFonts w:hint="eastAsia" w:ascii="仿宋_GB2312" w:eastAsia="仿宋_GB2312"/>
          <w:color w:val="auto"/>
          <w:sz w:val="28"/>
          <w:szCs w:val="28"/>
          <w:highlight w:val="none"/>
          <w:lang w:eastAsia="zh-CN"/>
        </w:rPr>
        <w:t>人员增减变化、保险、公积金基数的调整变化</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住房保障</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163.28</w:t>
      </w:r>
      <w:r>
        <w:rPr>
          <w:rFonts w:hint="eastAsia" w:ascii="仿宋_GB2312" w:eastAsia="仿宋_GB2312"/>
          <w:sz w:val="28"/>
          <w:szCs w:val="28"/>
        </w:rPr>
        <w:t>万元。其中：</w:t>
      </w:r>
    </w:p>
    <w:p>
      <w:pPr>
        <w:rPr>
          <w:rFonts w:hint="eastAsia"/>
          <w:highlight w:val="yellow"/>
          <w:lang w:val="en-US" w:eastAsia="zh-CN"/>
        </w:rPr>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163.28</w:t>
      </w:r>
      <w:r>
        <w:rPr>
          <w:rFonts w:hint="eastAsia" w:ascii="仿宋_GB2312" w:eastAsia="仿宋_GB2312"/>
          <w:sz w:val="28"/>
          <w:szCs w:val="28"/>
        </w:rPr>
        <w:t>万元。主要原因：</w:t>
      </w:r>
      <w:r>
        <w:rPr>
          <w:rFonts w:hint="eastAsia" w:ascii="仿宋_GB2312" w:eastAsia="仿宋_GB2312"/>
          <w:sz w:val="28"/>
          <w:szCs w:val="28"/>
          <w:lang w:eastAsia="zh-CN"/>
        </w:rPr>
        <w:t>根据大兴区住房补贴领导小组安排补发在职职工住房补贴。</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bookmarkStart w:id="0" w:name="_GoBack"/>
      <w:bookmarkEnd w:id="0"/>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2024年无国有资本经营预算财政拨款安排的支出。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1450.78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办公费、手续费、水费、电费、邮电费、取暖费、差旅费、维修（护）费、福利费、公务用车运行维护费、其他商品和服务</w:t>
      </w:r>
      <w:r>
        <w:rPr>
          <w:rFonts w:hint="eastAsia" w:ascii="仿宋_GB2312" w:eastAsia="仿宋_GB2312"/>
          <w:sz w:val="28"/>
          <w:szCs w:val="28"/>
          <w:lang w:eastAsia="zh-CN"/>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lang w:eastAsia="zh-CN"/>
        </w:rPr>
        <w:t>等支出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lang w:eastAsia="zh-CN"/>
        </w:rPr>
        <w:t>、专用设备购置等</w:t>
      </w:r>
      <w:r>
        <w:rPr>
          <w:rFonts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1.9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2024年本单位无因公出国（境）支出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2024年本单位无</w:t>
      </w:r>
      <w:r>
        <w:rPr>
          <w:rFonts w:hint="eastAsia" w:ascii="仿宋_GB2312" w:eastAsia="仿宋_GB2312"/>
          <w:sz w:val="28"/>
          <w:szCs w:val="28"/>
        </w:rPr>
        <w:t>公务接待费。公务接待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w:t>
      </w:r>
      <w:r>
        <w:rPr>
          <w:rFonts w:hint="eastAsia" w:ascii="仿宋_GB2312" w:eastAsia="仿宋_GB2312"/>
          <w:sz w:val="28"/>
          <w:szCs w:val="28"/>
        </w:rPr>
        <w:t>万元减少</w:t>
      </w:r>
      <w:r>
        <w:rPr>
          <w:rFonts w:hint="eastAsia" w:ascii="仿宋_GB2312" w:eastAsia="仿宋_GB2312"/>
          <w:sz w:val="28"/>
          <w:szCs w:val="28"/>
          <w:lang w:val="en-US" w:eastAsia="zh-CN"/>
        </w:rPr>
        <w:t>1.9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w:t>
      </w:r>
      <w:r>
        <w:rPr>
          <w:rFonts w:hint="eastAsia" w:ascii="仿宋_GB2312" w:eastAsia="仿宋_GB2312"/>
          <w:sz w:val="28"/>
          <w:szCs w:val="28"/>
        </w:rPr>
        <w:t>万元，主要原因：</w:t>
      </w:r>
      <w:r>
        <w:rPr>
          <w:rFonts w:hint="eastAsia" w:ascii="仿宋_GB2312" w:eastAsia="仿宋_GB2312"/>
          <w:sz w:val="28"/>
          <w:szCs w:val="28"/>
          <w:lang w:eastAsia="zh-CN"/>
        </w:rPr>
        <w:t>严格执行“过紧日子”的要求、压减三公经费支出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color w:val="auto"/>
          <w:sz w:val="28"/>
          <w:szCs w:val="28"/>
          <w:highlight w:val="none"/>
        </w:rPr>
      </w:pPr>
      <w:r>
        <w:rPr>
          <w:rFonts w:hint="eastAsia" w:ascii="黑体" w:eastAsia="黑体"/>
          <w:color w:val="auto"/>
          <w:sz w:val="28"/>
          <w:szCs w:val="28"/>
          <w:highlight w:val="none"/>
        </w:rPr>
        <w:t>二、机关运行经费支出情况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w:t>
      </w:r>
      <w:r>
        <w:rPr>
          <w:rFonts w:hint="eastAsia" w:ascii="仿宋_GB2312" w:eastAsia="仿宋_GB2312"/>
          <w:color w:val="auto"/>
          <w:sz w:val="28"/>
          <w:szCs w:val="28"/>
          <w:highlight w:val="none"/>
          <w:lang w:eastAsia="zh-CN"/>
        </w:rPr>
        <w:t>机关运行经费</w:t>
      </w:r>
      <w:r>
        <w:rPr>
          <w:rFonts w:hint="eastAsia" w:ascii="仿宋_GB2312" w:eastAsia="仿宋_GB2312"/>
          <w:color w:val="auto"/>
          <w:sz w:val="28"/>
          <w:szCs w:val="28"/>
          <w:highlight w:val="none"/>
        </w:rPr>
        <w:t>支出合计</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万元，比上年增加（减少）</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万元，增加（减少）原因：</w:t>
      </w:r>
      <w:r>
        <w:rPr>
          <w:rFonts w:hint="eastAsia" w:ascii="仿宋_GB2312" w:eastAsia="仿宋_GB2312"/>
          <w:color w:val="auto"/>
          <w:sz w:val="28"/>
          <w:szCs w:val="28"/>
          <w:highlight w:val="none"/>
          <w:lang w:eastAsia="zh-CN"/>
        </w:rPr>
        <w:t>本单位不在机关运行经费统计范围内</w:t>
      </w:r>
      <w:r>
        <w:rPr>
          <w:rFonts w:hint="eastAsia" w:ascii="仿宋_GB2312" w:eastAsia="仿宋_GB2312"/>
          <w:color w:val="auto"/>
          <w:sz w:val="28"/>
          <w:szCs w:val="28"/>
          <w:highlight w:val="none"/>
        </w:rPr>
        <w:t>。</w:t>
      </w:r>
    </w:p>
    <w:p>
      <w:pPr>
        <w:ind w:left="540"/>
        <w:rPr>
          <w:rFonts w:hint="eastAsia" w:ascii="黑体" w:eastAsia="黑体"/>
          <w:color w:val="auto"/>
          <w:sz w:val="28"/>
          <w:szCs w:val="28"/>
          <w:highlight w:val="none"/>
        </w:rPr>
      </w:pPr>
      <w:r>
        <w:rPr>
          <w:rFonts w:hint="eastAsia" w:ascii="黑体" w:eastAsia="黑体"/>
          <w:color w:val="auto"/>
          <w:sz w:val="28"/>
          <w:szCs w:val="28"/>
          <w:highlight w:val="none"/>
        </w:rPr>
        <w:t>三、政府采购支出情况</w:t>
      </w:r>
    </w:p>
    <w:p>
      <w:pPr>
        <w:ind w:firstLine="537" w:firstLineChars="192"/>
        <w:rPr>
          <w:rFonts w:hint="eastAsia" w:ascii="仿宋_GB2312" w:eastAsia="仿宋_GB2312"/>
          <w:sz w:val="28"/>
          <w:szCs w:val="28"/>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年度政府采购支出总额</w:t>
      </w:r>
      <w:r>
        <w:rPr>
          <w:rFonts w:ascii="仿宋_GB2312" w:eastAsia="仿宋_GB2312"/>
          <w:color w:val="auto"/>
          <w:sz w:val="28"/>
          <w:szCs w:val="28"/>
          <w:highlight w:val="none"/>
        </w:rPr>
        <w:t>142.73</w:t>
      </w:r>
      <w:r>
        <w:rPr>
          <w:rFonts w:hint="eastAsia" w:ascii="仿宋_GB2312" w:eastAsia="仿宋_GB2312"/>
          <w:color w:val="auto"/>
          <w:sz w:val="28"/>
          <w:szCs w:val="28"/>
          <w:highlight w:val="none"/>
        </w:rPr>
        <w:t>万元，其中：政府采购货物支出</w:t>
      </w:r>
      <w:r>
        <w:rPr>
          <w:rFonts w:hint="eastAsia" w:ascii="仿宋_GB2312" w:eastAsia="仿宋_GB2312"/>
          <w:color w:val="auto"/>
          <w:sz w:val="28"/>
          <w:szCs w:val="28"/>
          <w:highlight w:val="none"/>
          <w:lang w:val="en-US" w:eastAsia="zh-CN"/>
        </w:rPr>
        <w:t>5.75</w:t>
      </w:r>
      <w:r>
        <w:rPr>
          <w:rFonts w:hint="eastAsia" w:ascii="仿宋_GB2312" w:eastAsia="仿宋_GB2312"/>
          <w:color w:val="auto"/>
          <w:sz w:val="28"/>
          <w:szCs w:val="28"/>
          <w:highlight w:val="none"/>
        </w:rPr>
        <w:t>万元，政府采购工程支出</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万元，政府采购服务支出</w:t>
      </w:r>
      <w:r>
        <w:rPr>
          <w:rFonts w:hint="eastAsia" w:ascii="仿宋_GB2312" w:eastAsia="仿宋_GB2312"/>
          <w:color w:val="auto"/>
          <w:sz w:val="28"/>
          <w:szCs w:val="28"/>
          <w:highlight w:val="none"/>
          <w:lang w:val="en-US" w:eastAsia="zh-CN"/>
        </w:rPr>
        <w:t>136.98</w:t>
      </w:r>
      <w:r>
        <w:rPr>
          <w:rFonts w:hint="eastAsia" w:ascii="仿宋_GB2312" w:eastAsia="仿宋_GB2312"/>
          <w:color w:val="auto"/>
          <w:sz w:val="28"/>
          <w:szCs w:val="28"/>
          <w:highlight w:val="none"/>
        </w:rPr>
        <w:t>万元。授予中小企业合同金额</w:t>
      </w:r>
      <w:r>
        <w:rPr>
          <w:rFonts w:ascii="仿宋_GB2312" w:eastAsia="仿宋_GB2312"/>
          <w:color w:val="auto"/>
          <w:sz w:val="28"/>
          <w:szCs w:val="28"/>
          <w:highlight w:val="none"/>
        </w:rPr>
        <w:t>137.43</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eastAsia="zh-CN"/>
        </w:rPr>
        <w:t>96.28</w:t>
      </w:r>
      <w:r>
        <w:rPr>
          <w:rFonts w:hint="eastAsia" w:ascii="仿宋_GB2312" w:eastAsia="仿宋_GB2312"/>
          <w:color w:val="auto"/>
          <w:sz w:val="28"/>
          <w:szCs w:val="28"/>
          <w:highlight w:val="none"/>
        </w:rPr>
        <w:t>%，其中：授予小微企业合</w:t>
      </w:r>
      <w:r>
        <w:rPr>
          <w:rFonts w:hint="eastAsia" w:ascii="仿宋_GB2312" w:eastAsia="仿宋_GB2312"/>
          <w:sz w:val="28"/>
          <w:szCs w:val="28"/>
        </w:rPr>
        <w:t>同金额</w:t>
      </w:r>
      <w:r>
        <w:rPr>
          <w:rFonts w:ascii="仿宋_GB2312" w:eastAsia="仿宋_GB2312"/>
          <w:sz w:val="28"/>
          <w:szCs w:val="28"/>
        </w:rPr>
        <w:t>5.3</w:t>
      </w:r>
      <w:r>
        <w:rPr>
          <w:rFonts w:hint="eastAsia" w:ascii="仿宋_GB2312" w:eastAsia="仿宋_GB2312"/>
          <w:sz w:val="28"/>
          <w:szCs w:val="28"/>
        </w:rPr>
        <w:t>万元，占政府采购支出总额的</w:t>
      </w:r>
      <w:r>
        <w:rPr>
          <w:rFonts w:ascii="仿宋_GB2312" w:eastAsia="仿宋_GB2312"/>
          <w:sz w:val="28"/>
          <w:szCs w:val="28"/>
        </w:rPr>
        <w:t>3.72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12月31日，北京市大兴区卫生人才教育服务中心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280" w:firstLineChars="1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280" w:firstLineChars="1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7.教育支出（类）进修及培训（款）培训支出（项）反映各部门安排的用于培训的支出。教育部门的师资培训，党校、行政学院等专业干部教育机构的支出，以及退役士兵、转业士官的培训支出，不在本科目反映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 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单位离退休（项）：反映用于</w:t>
      </w:r>
      <w:r>
        <w:rPr>
          <w:rFonts w:hint="eastAsia" w:ascii="仿宋_GB2312" w:eastAsia="仿宋_GB2312"/>
          <w:sz w:val="28"/>
          <w:szCs w:val="28"/>
          <w:lang w:eastAsia="zh-CN"/>
        </w:rPr>
        <w:t>事业</w:t>
      </w:r>
      <w:r>
        <w:rPr>
          <w:rFonts w:hint="eastAsia" w:ascii="仿宋_GB2312" w:eastAsia="仿宋_GB2312"/>
          <w:sz w:val="28"/>
          <w:szCs w:val="28"/>
        </w:rPr>
        <w:t>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机关事业单位职业年金缴费支出（项）反映机关事业单位实施养老保险制度由单位实际缴纳的职业年金支出（含职业年金补记支出）。</w:t>
      </w:r>
    </w:p>
    <w:p>
      <w:pPr>
        <w:ind w:firstLine="280" w:firstLineChars="1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11.卫生健康支出（类）行政事业单位医疗（款）事业单位医疗（项）反映财政部门安排的事业单位基本医疗保险经费，未参加医疗保险的事业单位的公费医疗经费，按国家规定享受离休人员待遇的医疗经费。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12.卫生健康支出（类）行政事业单位医疗（款）公务员医疗补助（项）反映财政部门安排的公务员医疗补助经费。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13.卫生健康支出（类）行政事业单位医疗（款）其他行政事业单位医疗支出（项）反映除上述项目以外的其他用于行政事业单位医疗方面的支出。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14.住房保障支出（类）住房改革支出（款）购房补贴（项）反映按房改政策规定，行政事业单位向符合条件职工（含离退休人员）、军队（含武警）向转役复员离退休人员发刚的用于购买住房的补贴。</w:t>
      </w:r>
    </w:p>
    <w:p>
      <w:pPr>
        <w:ind w:firstLine="420" w:firstLineChars="150"/>
        <w:rPr>
          <w:rFonts w:hint="eastAsia" w:ascii="仿宋_GB2312" w:eastAsia="仿宋_GB2312"/>
          <w:sz w:val="28"/>
          <w:szCs w:val="28"/>
          <w:lang w:val="en-US" w:eastAsia="zh-CN"/>
        </w:rPr>
      </w:pPr>
    </w:p>
    <w:p>
      <w:pPr>
        <w:pStyle w:val="2"/>
        <w:rPr>
          <w:rFonts w:ascii="宋体" w:hAnsi="宋体" w:cs="宋体"/>
          <w:b/>
          <w:bCs/>
          <w:kern w:val="0"/>
          <w:sz w:val="28"/>
          <w:szCs w:val="28"/>
        </w:rPr>
      </w:pPr>
      <w:r>
        <w:rPr>
          <w:rFonts w:hint="eastAsia" w:ascii="黑体"/>
          <w:sz w:val="32"/>
          <w:szCs w:val="32"/>
          <w:lang w:val="en-US" w:eastAsia="zh-CN"/>
        </w:rPr>
        <w:t>.</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280" w:firstLineChars="1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pStyle w:val="2"/>
        <w:rPr>
          <w:rFonts w:hint="eastAsia" w:ascii="黑体" w:eastAsia="黑体"/>
          <w:sz w:val="28"/>
          <w:szCs w:val="28"/>
        </w:rPr>
      </w:pPr>
    </w:p>
    <w:p>
      <w:pPr>
        <w:rPr>
          <w:rFonts w:hint="eastAsia" w:ascii="黑体" w:eastAsia="黑体"/>
          <w:sz w:val="28"/>
          <w:szCs w:val="28"/>
        </w:rPr>
      </w:pPr>
    </w:p>
    <w:p>
      <w:pPr>
        <w:pStyle w:val="2"/>
        <w:rPr>
          <w:rFonts w:hint="eastAsia"/>
        </w:rPr>
      </w:pPr>
    </w:p>
    <w:p>
      <w:pPr>
        <w:spacing w:line="480" w:lineRule="exact"/>
        <w:rPr>
          <w:rFonts w:hint="eastAsia" w:ascii="仿宋_GB2312" w:hAnsi="仿宋_GB2312" w:eastAsia="仿宋_GB2312" w:cs="仿宋_GB2312"/>
          <w:sz w:val="32"/>
          <w:szCs w:val="32"/>
        </w:rPr>
      </w:pPr>
    </w:p>
    <w:p>
      <w:pPr>
        <w:spacing w:line="480" w:lineRule="exact"/>
      </w:pPr>
      <w:r>
        <w:br w:type="page"/>
      </w:r>
    </w:p>
    <w:tbl>
      <w:tblPr>
        <w:tblStyle w:val="13"/>
        <w:tblW w:w="14525" w:type="dxa"/>
        <w:jc w:val="center"/>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33"/>
        <w:gridCol w:w="936"/>
        <w:gridCol w:w="1520"/>
        <w:gridCol w:w="1530"/>
        <w:gridCol w:w="1611"/>
        <w:gridCol w:w="321"/>
        <w:gridCol w:w="1935"/>
        <w:gridCol w:w="1219"/>
        <w:gridCol w:w="1217"/>
        <w:gridCol w:w="139"/>
        <w:gridCol w:w="1053"/>
        <w:gridCol w:w="398"/>
        <w:gridCol w:w="858"/>
        <w:gridCol w:w="10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6" w:hRule="atLeast"/>
          <w:jc w:val="center"/>
        </w:trPr>
        <w:tc>
          <w:tcPr>
            <w:tcW w:w="14525"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525"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85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防水及修缮项目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91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北京市大兴区卫生健康委员会</w:t>
            </w: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北京市大兴区卫生人才教育服务中心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6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0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2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4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24.990839</w:t>
            </w: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24.990839</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24.990839</w:t>
            </w: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24.990839</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 </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5"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8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3"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对中心办公楼、综合楼防水进行修缮1299㎡，室内教室装修及楼梯间墙面粉刷810㎡，保障职工及学员的正常工作开展及正常上课。</w:t>
            </w:r>
          </w:p>
        </w:tc>
        <w:tc>
          <w:tcPr>
            <w:tcW w:w="5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办公楼及综合楼防水修缮896㎡，室内教室装修及楼梯间墙面粉刷810㎡，共支出 24.990839万元,解决房顶漏水问题、教室及楼道墙面粉刷干净。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7" w:hRule="atLeast"/>
          <w:jc w:val="center"/>
        </w:trPr>
        <w:tc>
          <w:tcPr>
            <w:tcW w:w="73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指标1：防水修缮：办公楼403㎡，综合楼896㎡，室内教室装修及楼梯间墙面810㎡。</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2109平米</w:t>
            </w:r>
          </w:p>
        </w:tc>
        <w:tc>
          <w:tcPr>
            <w:tcW w:w="121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6"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1"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指标1：修缮后不漏雨，验收合格，质保期五年。</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验收2109平米</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7"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指标1：2024年4月签订防水及修缮协议，5月开始修缮，6月完工并验收，分别于6、7月份分两次支付费用</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2024年5月16日-2024年6月16日</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3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0"/>
                <w:lang w:val="en-US" w:eastAsia="zh-CN" w:bidi="ar"/>
              </w:rPr>
              <w:t>指标1：防水修缮：办公楼403</w:t>
            </w:r>
            <w:r>
              <w:rPr>
                <w:rFonts w:ascii="宋体" w:hAnsi="宋体" w:eastAsia="宋体" w:cs="宋体"/>
                <w:i w:val="0"/>
                <w:color w:val="000000"/>
                <w:kern w:val="0"/>
                <w:sz w:val="18"/>
                <w:szCs w:val="18"/>
                <w:u w:val="none"/>
                <w:lang w:val="en-US" w:eastAsia="zh-CN" w:bidi="ar"/>
              </w:rPr>
              <w:t>㎡，综合楼</w:t>
            </w:r>
            <w:r>
              <w:rPr>
                <w:rStyle w:val="20"/>
                <w:lang w:val="en-US" w:eastAsia="zh-CN" w:bidi="ar"/>
              </w:rPr>
              <w:t>896㎡，室内教室装修及楼梯间墙面粉刷810㎡共计支出 24.990839万元</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0.0136万元/平米</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6"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指标1：通过防水修缮保证房屋五年内不漏水。</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质保期五年</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指标1：漏水问题已解决，教室及楼道墙面粉刷，全体职工满意。</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解决漏水问题，教室及楼道墙面粉刷干净</w:t>
            </w:r>
          </w:p>
        </w:tc>
        <w:tc>
          <w:tcPr>
            <w:tcW w:w="12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98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bl>
    <w:p>
      <w:pPr>
        <w:pStyle w:val="2"/>
      </w:pPr>
      <w:r>
        <w:br w:type="page"/>
      </w:r>
    </w:p>
    <w:tbl>
      <w:tblPr>
        <w:tblStyle w:val="13"/>
        <w:tblW w:w="14239" w:type="dxa"/>
        <w:jc w:val="center"/>
        <w:tblInd w:w="1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33"/>
        <w:gridCol w:w="936"/>
        <w:gridCol w:w="1623"/>
        <w:gridCol w:w="1621"/>
        <w:gridCol w:w="1470"/>
        <w:gridCol w:w="221"/>
        <w:gridCol w:w="1762"/>
        <w:gridCol w:w="1222"/>
        <w:gridCol w:w="1220"/>
        <w:gridCol w:w="139"/>
        <w:gridCol w:w="1054"/>
        <w:gridCol w:w="398"/>
        <w:gridCol w:w="859"/>
        <w:gridCol w:w="9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6" w:hRule="atLeast"/>
          <w:jc w:val="center"/>
        </w:trPr>
        <w:tc>
          <w:tcPr>
            <w:tcW w:w="1423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23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5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物业管理费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69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北京市大兴区卫生健康委员会</w:t>
            </w:r>
          </w:p>
        </w:tc>
        <w:tc>
          <w:tcPr>
            <w:tcW w:w="2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北京市大兴区卫生人才教育服务中心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6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2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4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137.662</w:t>
            </w: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136.782648</w:t>
            </w:r>
          </w:p>
        </w:tc>
        <w:tc>
          <w:tcPr>
            <w:tcW w:w="2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136.782648</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137.662</w:t>
            </w: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136.782648</w:t>
            </w:r>
          </w:p>
        </w:tc>
        <w:tc>
          <w:tcPr>
            <w:tcW w:w="2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136.782648</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 </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5"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6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8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7"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目标1：为单位日常工作、卫生专业技术人员、卫生健康系统积极分子、党员、干部培训，各类会议的正常开展提供服务。满足职工工作的后勤保障需要。</w:t>
            </w:r>
          </w:p>
        </w:tc>
        <w:tc>
          <w:tcPr>
            <w:tcW w:w="58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物业服务人员提供对院内的安全保卫、对办公楼综合楼及院内的卫生保洁、会务服务及制作一日二餐服务，年支出136.782648万元，使中心办公环境干净整洁，保障会务、学员学习及全体职工正常工作开展。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7" w:hRule="atLeast"/>
          <w:jc w:val="center"/>
        </w:trPr>
        <w:tc>
          <w:tcPr>
            <w:tcW w:w="73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指标1：服务面积</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9678.1平米</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指标1：每月对物业工作开展监督检查</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1月/次</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7"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指标1：2024年10月签订合同，11月、2025年3月、6月及7月分别支付。</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2024年10月10日-2025年7月31日</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6"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指标1：物业费总成本136.782648万元</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0.00708万元/平米</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指标1：满足单位日常工作开展，保障单位正常运行</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提供后勤保障</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73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6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3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指标1：每季度有职工满意度调查表</w:t>
            </w:r>
          </w:p>
        </w:tc>
        <w:tc>
          <w:tcPr>
            <w:tcW w:w="1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lang w:val="en-US" w:eastAsia="zh-CN" w:bidi="ar"/>
              </w:rPr>
              <w:t>满意率</w:t>
            </w:r>
            <w:r>
              <w:rPr>
                <w:rFonts w:ascii="Arial" w:hAnsi="Arial" w:eastAsia="宋体" w:cs="Arial"/>
                <w:i w:val="0"/>
                <w:color w:val="000000"/>
                <w:kern w:val="0"/>
                <w:sz w:val="18"/>
                <w:szCs w:val="18"/>
                <w:u w:val="none"/>
                <w:lang w:val="en-US" w:eastAsia="zh-CN" w:bidi="ar"/>
              </w:rPr>
              <w:t>≥</w:t>
            </w:r>
            <w:r>
              <w:rPr>
                <w:rStyle w:val="21"/>
                <w:lang w:val="en-US" w:eastAsia="zh-CN" w:bidi="ar"/>
              </w:rPr>
              <w:t>95%</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958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bl>
    <w:p>
      <w:r>
        <w:br w:type="page"/>
      </w:r>
    </w:p>
    <w:tbl>
      <w:tblPr>
        <w:tblStyle w:val="13"/>
        <w:tblW w:w="10168" w:type="dxa"/>
        <w:jc w:val="center"/>
        <w:tblInd w:w="2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28"/>
        <w:gridCol w:w="827"/>
        <w:gridCol w:w="988"/>
        <w:gridCol w:w="985"/>
        <w:gridCol w:w="850"/>
        <w:gridCol w:w="39"/>
        <w:gridCol w:w="1317"/>
        <w:gridCol w:w="868"/>
        <w:gridCol w:w="822"/>
        <w:gridCol w:w="1011"/>
        <w:gridCol w:w="1070"/>
        <w:gridCol w:w="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6" w:hRule="atLeast"/>
          <w:jc w:val="center"/>
        </w:trPr>
        <w:tc>
          <w:tcPr>
            <w:tcW w:w="10168" w:type="dxa"/>
            <w:gridSpan w:val="12"/>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0168" w:type="dxa"/>
            <w:gridSpan w:val="12"/>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71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党建活动经费—2024党校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3" w:hRule="atLeast"/>
          <w:jc w:val="center"/>
        </w:trPr>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1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北京市大兴区卫生健康委员会</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8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北京市大兴区卫生人才教育服务中心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4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19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14.54</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8.666802</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8.666802</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14.54</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8.666802</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8.666802</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5" w:hRule="atLeast"/>
          <w:jc w:val="center"/>
        </w:trPr>
        <w:tc>
          <w:tcPr>
            <w:tcW w:w="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0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5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3" w:hRule="atLeast"/>
          <w:jc w:val="center"/>
        </w:trPr>
        <w:tc>
          <w:tcPr>
            <w:tcW w:w="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全区卫生健康系统党员干部培训，打造一支具备良好思想政治觉悟的高素质党员干部和卫生人才队伍，为大兴区卫生健康事业发展提供坚强的保障。此项目举办7期培训，于2024年11月底前完成，培训党员领导干部1600余人，参培率100%。</w:t>
            </w:r>
          </w:p>
        </w:tc>
        <w:tc>
          <w:tcPr>
            <w:tcW w:w="45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此项目于2024年11月底前完成，培训党员领导干部1600余人，参培率100%，切实提高了党员干部的政治素质、业务素质，培训人员满意度为优。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7" w:hRule="atLeast"/>
          <w:jc w:val="center"/>
        </w:trPr>
        <w:tc>
          <w:tcPr>
            <w:tcW w:w="62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jc w:val="center"/>
        </w:trPr>
        <w:tc>
          <w:tcPr>
            <w:tcW w:w="62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98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指标1：党员培训人次</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1600人</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7" w:hRule="atLeast"/>
          <w:jc w:val="center"/>
        </w:trPr>
        <w:tc>
          <w:tcPr>
            <w:tcW w:w="62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指标1：参培率</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7" w:hRule="atLeast"/>
          <w:jc w:val="center"/>
        </w:trPr>
        <w:tc>
          <w:tcPr>
            <w:tcW w:w="62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指标1：培训从3月开始至11月结束</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3月至11月</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3" w:hRule="atLeast"/>
          <w:jc w:val="center"/>
        </w:trPr>
        <w:tc>
          <w:tcPr>
            <w:tcW w:w="62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指标1：人均培训费用</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不超过90.875元，专款专用，节约资金</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54.17元</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jc w:val="center"/>
        </w:trPr>
        <w:tc>
          <w:tcPr>
            <w:tcW w:w="62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98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指标1：培训后，进行考核以检验培训效果。</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合格率不低于90%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62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98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指标1：培训人员满意度90%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满意率不低于90%</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650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2"/>
      </w:pPr>
      <w:r>
        <w:br w:type="page"/>
      </w:r>
    </w:p>
    <w:tbl>
      <w:tblPr>
        <w:tblStyle w:val="13"/>
        <w:tblW w:w="12737" w:type="dxa"/>
        <w:jc w:val="center"/>
        <w:tblInd w:w="93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26"/>
        <w:gridCol w:w="929"/>
        <w:gridCol w:w="1327"/>
        <w:gridCol w:w="1324"/>
        <w:gridCol w:w="929"/>
        <w:gridCol w:w="487"/>
        <w:gridCol w:w="1328"/>
        <w:gridCol w:w="1207"/>
        <w:gridCol w:w="1196"/>
        <w:gridCol w:w="137"/>
        <w:gridCol w:w="1037"/>
        <w:gridCol w:w="389"/>
        <w:gridCol w:w="839"/>
        <w:gridCol w:w="8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6" w:hRule="atLeast"/>
          <w:jc w:val="center"/>
        </w:trPr>
        <w:tc>
          <w:tcPr>
            <w:tcW w:w="1273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273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6" w:hRule="atLeast"/>
          <w:jc w:val="center"/>
        </w:trPr>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10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党建活动经费-2024年党支部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3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北京市大兴区卫生健康委员会</w:t>
            </w:r>
          </w:p>
        </w:tc>
        <w:tc>
          <w:tcPr>
            <w:tcW w:w="2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北京市大兴区卫生人才教育服务中心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8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4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0.48</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0.48</w:t>
            </w:r>
          </w:p>
        </w:tc>
        <w:tc>
          <w:tcPr>
            <w:tcW w:w="2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0.48</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0.48</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0.48</w:t>
            </w:r>
          </w:p>
        </w:tc>
        <w:tc>
          <w:tcPr>
            <w:tcW w:w="2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0.48</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5" w:hRule="atLeast"/>
          <w:jc w:val="center"/>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3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68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1" w:hRule="atLeast"/>
          <w:jc w:val="center"/>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3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为加强中心党组织规范化建设，提升党员干部政治素养，增强支部战斗力，发挥党员先锋模范作用，党支部组织开展党员干部教育培训、党建活动等预计花费0.48万元。</w:t>
            </w:r>
          </w:p>
        </w:tc>
        <w:tc>
          <w:tcPr>
            <w:tcW w:w="568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心党支部为进一步加强党支部组织建设，保证党支部顺利开展党建工作；慰问困难党员500元；党支部宣传栏制作、更新维护150元；购买党员学习教育用书500元；开展党建活动外出参观的门票费、讲解费、租车费和其他费用2000元；观看红色影片购买电影票1150元；开展支部共建、志愿服务的活动物品和工作用品等500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 党员培训人次</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23人*12期=276人次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指标1：志愿服务参加人次</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50人次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指标1：培训1月份开始到12月底前完成</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12月底前完成</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指标1：人均培训费用</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17元</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17元</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指标1：提高党员领导干部的政治素质、业务素质。</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与4+x量化系统相结合，提升党员整体素质。</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72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指标1：培训党员</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党支部民主评议党员测评表95%</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82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r>
        <w:br w:type="page"/>
      </w:r>
    </w:p>
    <w:tbl>
      <w:tblPr>
        <w:tblStyle w:val="13"/>
        <w:tblW w:w="12860" w:type="dxa"/>
        <w:jc w:val="center"/>
        <w:tblInd w:w="87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58"/>
        <w:gridCol w:w="858"/>
        <w:gridCol w:w="1179"/>
        <w:gridCol w:w="1175"/>
        <w:gridCol w:w="822"/>
        <w:gridCol w:w="449"/>
        <w:gridCol w:w="1800"/>
        <w:gridCol w:w="1696"/>
        <w:gridCol w:w="1677"/>
        <w:gridCol w:w="716"/>
        <w:gridCol w:w="617"/>
        <w:gridCol w:w="12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6" w:hRule="atLeast"/>
          <w:jc w:val="center"/>
        </w:trPr>
        <w:tc>
          <w:tcPr>
            <w:tcW w:w="12860" w:type="dxa"/>
            <w:gridSpan w:val="12"/>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2860" w:type="dxa"/>
            <w:gridSpan w:val="12"/>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jc w:val="center"/>
        </w:trPr>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134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2024年卫生专业技术人员资格考试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北京市大兴区卫生健康委员会</w:t>
            </w:r>
          </w:p>
        </w:tc>
        <w:tc>
          <w:tcPr>
            <w:tcW w:w="3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5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北京市大兴区卫生人才教育服务中心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5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2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3.09516</w:t>
            </w:r>
          </w:p>
        </w:tc>
        <w:tc>
          <w:tcPr>
            <w:tcW w:w="3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3.09516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3.09516</w:t>
            </w:r>
          </w:p>
        </w:tc>
        <w:tc>
          <w:tcPr>
            <w:tcW w:w="3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3.09516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5" w:hRule="atLeast"/>
          <w:jc w:val="center"/>
        </w:trPr>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2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9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3" w:hRule="atLeast"/>
          <w:jc w:val="center"/>
        </w:trPr>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2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针对2024年4月13日、14日、20日、21日的2024年度卫生专业技术资格考试，预计2024年7月完成考试场地租赁资金支付共计3.09516万元，保障考试工作顺利进行。</w:t>
            </w:r>
          </w:p>
        </w:tc>
        <w:tc>
          <w:tcPr>
            <w:tcW w:w="59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2024年4月13日、14日、20日、21日已完成2024年度卫生专业技术资格考试工作，并于2024年5月完成考试场地租赁资金支付，共计3.09516万元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7" w:hRule="atLeast"/>
          <w:jc w:val="center"/>
        </w:trPr>
        <w:tc>
          <w:tcPr>
            <w:tcW w:w="6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指标1：考试人次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10000人次</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8206人次</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12.31</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7"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指标1：考试场地租赁</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考场、试室、机位、网络等软硬件设施100%满足考试需求</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7"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指标1：考试工作组织开始至完成时间预计2023年10月至2024年7月</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7月底前按照考场地租赁合同，完成考场租赁资金支付</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6"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指标1：租赁考场成本</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8元/科次，专款专用、控制成本、节约资金</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3.77元/科次</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6"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3"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指标1：为人才选拔提供精准支撑</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作为选拔卫生专业人才的重要途径，满足卫生专业技术人员的晋升需求</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6"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3"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指标1：对卫生技术人员影响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通过考试得到专业知识和技能的提升，职称晋升，为辖区百姓提供更优质的医疗服务</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jc w:val="center"/>
        </w:trPr>
        <w:tc>
          <w:tcPr>
            <w:tcW w:w="65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1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指标1：保障考试公平性</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考试全过程做到身份核验、安检、全程录像，发现违规违纪按要求上报处理，保障考试公平</w:t>
            </w: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86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97.31</w:t>
            </w:r>
          </w:p>
        </w:tc>
        <w:tc>
          <w:tcPr>
            <w:tcW w:w="12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2"/>
      </w:pPr>
      <w:r>
        <w:br w:type="page"/>
      </w:r>
    </w:p>
    <w:tbl>
      <w:tblPr>
        <w:tblStyle w:val="13"/>
        <w:tblW w:w="14202" w:type="dxa"/>
        <w:jc w:val="center"/>
        <w:tblInd w:w="1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69"/>
        <w:gridCol w:w="879"/>
        <w:gridCol w:w="1463"/>
        <w:gridCol w:w="1461"/>
        <w:gridCol w:w="850"/>
        <w:gridCol w:w="219"/>
        <w:gridCol w:w="1293"/>
        <w:gridCol w:w="2222"/>
        <w:gridCol w:w="2211"/>
        <w:gridCol w:w="1125"/>
        <w:gridCol w:w="215"/>
        <w:gridCol w:w="753"/>
        <w:gridCol w:w="8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76" w:hRule="atLeast"/>
          <w:jc w:val="center"/>
        </w:trPr>
        <w:tc>
          <w:tcPr>
            <w:tcW w:w="14202"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jc w:val="center"/>
        </w:trPr>
        <w:tc>
          <w:tcPr>
            <w:tcW w:w="14202"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2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北京市大兴区卫生健康委员会</w:t>
            </w: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北京市大兴区卫生人才教育服务中心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5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5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44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jc w:val="center"/>
        </w:trPr>
        <w:tc>
          <w:tcPr>
            <w:tcW w:w="15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33.368693</w:t>
            </w: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33.368693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33.368693</w:t>
            </w: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33.368693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15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5"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7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目标1：政策依据:《北京市继续医学教育实施细则》、《大兴区继续医学教育实施办法》、《北京市卫生健康委员会关于印发2018年北京市卫生健康人才培训项目实施方案的通知》(京卫科教【2018]57号)《北京市卫生健康委员会关于开展2020年北京市乡村医生培训工作的通知》;我区的临床实践技能培训始于2007年，项目的实施以大兴区人民医院临床技能培训中心为依托，结合基层卫生技术人员的实际需求开展，通过选派骨干学员重点培训，各单位二次培训的方式覆盖区域公立医疗机构医务人员，持续夯实医务人员业务基础，进一步保证医疗安全，不断提高区域医疗质量;根据中央组织部人力资源社会保障部关于印发《事业单位工作人员培训规定》的通知</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对全区卫生系统领导干部培训，打造一支具备良好思想政治觉悟的高素质领导干部和卫生人才队伍，为大兴区卫生健康事业发展提供坚强的政治保障。此项目举办6期培训于2024年10月底前完成，培训领导干部600余人。</w:t>
            </w:r>
          </w:p>
        </w:tc>
        <w:tc>
          <w:tcPr>
            <w:tcW w:w="7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卫生专业技术人员继续教育、人才培养、中医药适宜技术、临床实践技能培训项目，依据区卫健委的工作安排和本单位的工作职责，负责项目的申请、实施。通过对辖区内卫生技术人员开展培训继续医学教育培训80场、人才培养8期、临床实践技能培训覆盖率、合格率95%，中医药适宜技术培训参培率100%、合格率95%，不断提高工作能力、业务水平、服务质量，全年执行26.9553万，执行率为100%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目标2：此项目于2024年10月底前完成，培训党员领导干部1600余人，参培率100%，切实提高了党员干部的政治素质、业务素质，培训人员满意度为优。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7" w:hRule="atLeast"/>
          <w:jc w:val="center"/>
        </w:trPr>
        <w:tc>
          <w:tcPr>
            <w:tcW w:w="6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指标1：项目数</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指标2：培训人数</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3万人次</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指标3：领导干部大讲堂-培训人次</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600人</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指标1：培训内容贴合度</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培训内容紧密围绕卫生专业技术人员实际工作需求不低于90%</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指标2：讲师职级</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中级及以上职称</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指标3：领导干部大讲堂-参培率，应到600人，实到1300人。</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600人</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指标1：培训完成时间</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预计从2024年3月至12月底前</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指标2：领导干部大讲堂-培训从3月开始至10月结束</w:t>
            </w:r>
          </w:p>
        </w:tc>
        <w:tc>
          <w:tcPr>
            <w:tcW w:w="129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3月至10月</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指标1：培训成本</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8.99元/人次</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5.39元/人次</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指标2：领导干部大讲堂-人均培训费用</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不超过166.66元控制成本、节约资金</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49.33元</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指标1：岗位胜任能力</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通过参加培训，接受新知识、新技能，提高岗位胜任能力</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7"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指标2：服务水平</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通过培训，提升知识层次和职业技能，为群众提供更好的服务。</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指标3：领导干部大讲堂-培训后进行考核，以检验培训效果。</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合格率不低于90%</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3" w:hRule="atLeast"/>
          <w:jc w:val="center"/>
        </w:trPr>
        <w:tc>
          <w:tcPr>
            <w:tcW w:w="66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指标1：领导干部大讲堂-培训人员满意度为90%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满意率不低于90%</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3" w:hRule="atLeast"/>
          <w:jc w:val="center"/>
        </w:trPr>
        <w:tc>
          <w:tcPr>
            <w:tcW w:w="905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2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填报说明：</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pPr>
        <w:pStyle w:val="2"/>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1C"/>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7D76"/>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DE0C10"/>
    <w:rsid w:val="02F120AB"/>
    <w:rsid w:val="032B5196"/>
    <w:rsid w:val="039A3A15"/>
    <w:rsid w:val="04C3537C"/>
    <w:rsid w:val="04E614CA"/>
    <w:rsid w:val="05EB5683"/>
    <w:rsid w:val="079004AC"/>
    <w:rsid w:val="09775908"/>
    <w:rsid w:val="0AAC15C6"/>
    <w:rsid w:val="0B57348B"/>
    <w:rsid w:val="0BA148CA"/>
    <w:rsid w:val="0C1165C4"/>
    <w:rsid w:val="0C80594E"/>
    <w:rsid w:val="0CCF411B"/>
    <w:rsid w:val="0D453617"/>
    <w:rsid w:val="0D6D544B"/>
    <w:rsid w:val="0DD136FE"/>
    <w:rsid w:val="0F542F2C"/>
    <w:rsid w:val="0F8E2C57"/>
    <w:rsid w:val="1059665E"/>
    <w:rsid w:val="10AC13BA"/>
    <w:rsid w:val="11403406"/>
    <w:rsid w:val="11A20A7A"/>
    <w:rsid w:val="11B83AD1"/>
    <w:rsid w:val="11C825E4"/>
    <w:rsid w:val="139F0EAE"/>
    <w:rsid w:val="13B4027D"/>
    <w:rsid w:val="145A6C1B"/>
    <w:rsid w:val="14B73493"/>
    <w:rsid w:val="167A2FF9"/>
    <w:rsid w:val="1764587C"/>
    <w:rsid w:val="17966D4E"/>
    <w:rsid w:val="18581C69"/>
    <w:rsid w:val="19EE22EA"/>
    <w:rsid w:val="1AEC0734"/>
    <w:rsid w:val="1DEF20B0"/>
    <w:rsid w:val="1FF7AB17"/>
    <w:rsid w:val="214243FA"/>
    <w:rsid w:val="21AD613C"/>
    <w:rsid w:val="22467189"/>
    <w:rsid w:val="257A14F5"/>
    <w:rsid w:val="27006856"/>
    <w:rsid w:val="27196C26"/>
    <w:rsid w:val="29EF086F"/>
    <w:rsid w:val="2B5D3F21"/>
    <w:rsid w:val="2BC34C59"/>
    <w:rsid w:val="2CEC4643"/>
    <w:rsid w:val="2EFFE297"/>
    <w:rsid w:val="301437CA"/>
    <w:rsid w:val="327A525D"/>
    <w:rsid w:val="32B638A4"/>
    <w:rsid w:val="333D562D"/>
    <w:rsid w:val="347D4AE1"/>
    <w:rsid w:val="349D1F0A"/>
    <w:rsid w:val="34DD0473"/>
    <w:rsid w:val="375C5FBE"/>
    <w:rsid w:val="37F36D27"/>
    <w:rsid w:val="39D66653"/>
    <w:rsid w:val="3A8E35DC"/>
    <w:rsid w:val="3B6A4C91"/>
    <w:rsid w:val="3B9F0C34"/>
    <w:rsid w:val="3C684897"/>
    <w:rsid w:val="431D0A76"/>
    <w:rsid w:val="433E495C"/>
    <w:rsid w:val="47272364"/>
    <w:rsid w:val="489F2FD7"/>
    <w:rsid w:val="4AC27CB3"/>
    <w:rsid w:val="4B3E0A4A"/>
    <w:rsid w:val="4BF72BEF"/>
    <w:rsid w:val="4FA90297"/>
    <w:rsid w:val="4FC41A43"/>
    <w:rsid w:val="506F17A9"/>
    <w:rsid w:val="51DB3C59"/>
    <w:rsid w:val="53147B17"/>
    <w:rsid w:val="536C122A"/>
    <w:rsid w:val="550C0952"/>
    <w:rsid w:val="55762E42"/>
    <w:rsid w:val="57A7B272"/>
    <w:rsid w:val="58470068"/>
    <w:rsid w:val="58747CAC"/>
    <w:rsid w:val="58847613"/>
    <w:rsid w:val="5A1720F9"/>
    <w:rsid w:val="5B7729A9"/>
    <w:rsid w:val="5B9C37C2"/>
    <w:rsid w:val="5BA7C654"/>
    <w:rsid w:val="5DF716AE"/>
    <w:rsid w:val="5F9F507E"/>
    <w:rsid w:val="5FB35EA9"/>
    <w:rsid w:val="60A54109"/>
    <w:rsid w:val="61D01CDF"/>
    <w:rsid w:val="62106487"/>
    <w:rsid w:val="631D58C0"/>
    <w:rsid w:val="64C0607C"/>
    <w:rsid w:val="65756C86"/>
    <w:rsid w:val="66DF7094"/>
    <w:rsid w:val="674D385B"/>
    <w:rsid w:val="676F09E1"/>
    <w:rsid w:val="67E00092"/>
    <w:rsid w:val="6B5C545E"/>
    <w:rsid w:val="6BF5453B"/>
    <w:rsid w:val="6E346E6F"/>
    <w:rsid w:val="71691990"/>
    <w:rsid w:val="71793A80"/>
    <w:rsid w:val="7357290B"/>
    <w:rsid w:val="7448050F"/>
    <w:rsid w:val="756E3DEA"/>
    <w:rsid w:val="760C42F3"/>
    <w:rsid w:val="76140313"/>
    <w:rsid w:val="76FB1693"/>
    <w:rsid w:val="78746833"/>
    <w:rsid w:val="798524E4"/>
    <w:rsid w:val="7A7F1C49"/>
    <w:rsid w:val="7B5B7AE6"/>
    <w:rsid w:val="7B7B6628"/>
    <w:rsid w:val="7B843030"/>
    <w:rsid w:val="7BA7071E"/>
    <w:rsid w:val="7BDF6DA8"/>
    <w:rsid w:val="7C0F77C4"/>
    <w:rsid w:val="7C7EDC1A"/>
    <w:rsid w:val="7C826CDD"/>
    <w:rsid w:val="7CCED98D"/>
    <w:rsid w:val="7D08410F"/>
    <w:rsid w:val="7DB96DED"/>
    <w:rsid w:val="7DD3AD81"/>
    <w:rsid w:val="7DFFF77E"/>
    <w:rsid w:val="7F53A862"/>
    <w:rsid w:val="7F7FE70F"/>
    <w:rsid w:val="7FDF365A"/>
    <w:rsid w:val="7FEC8BC6"/>
    <w:rsid w:val="7FEE5AC5"/>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11"/>
    <w:basedOn w:val="10"/>
    <w:qFormat/>
    <w:uiPriority w:val="0"/>
    <w:rPr>
      <w:rFonts w:hint="eastAsia" w:ascii="宋体" w:hAnsi="宋体" w:eastAsia="宋体" w:cs="宋体"/>
      <w:color w:val="000000"/>
      <w:sz w:val="18"/>
      <w:szCs w:val="18"/>
      <w:u w:val="none"/>
    </w:rPr>
  </w:style>
  <w:style w:type="character" w:customStyle="1" w:styleId="21">
    <w:name w:val="font41"/>
    <w:basedOn w:val="1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1494.88</c:v>
                </c:pt>
                <c:pt idx="1">
                  <c:v>0</c:v>
                </c:pt>
                <c:pt idx="2">
                  <c:v>0</c:v>
                </c:pt>
                <c:pt idx="3">
                  <c:v>0</c:v>
                </c:pt>
                <c:pt idx="4">
                  <c:v>0</c:v>
                </c:pt>
                <c:pt idx="5">
                  <c:v>35.29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1450.78</c:v>
                </c:pt>
                <c:pt idx="1">
                  <c:v>242.67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cw</cp:lastModifiedBy>
  <cp:lastPrinted>2020-08-09T03:39:00Z</cp:lastPrinted>
  <dcterms:modified xsi:type="dcterms:W3CDTF">2025-09-26T06:24:31Z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